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8E1CCA">
        <w:rPr>
          <w:rFonts w:asciiTheme="majorBidi" w:hAnsiTheme="majorBidi" w:cstheme="majorBidi"/>
          <w:sz w:val="28"/>
          <w:szCs w:val="28"/>
        </w:rPr>
        <w:t xml:space="preserve">Муниципальное автономное </w:t>
      </w:r>
      <w:r w:rsidR="005513D7">
        <w:rPr>
          <w:rFonts w:asciiTheme="majorBidi" w:hAnsiTheme="majorBidi" w:cstheme="majorBidi"/>
          <w:sz w:val="28"/>
          <w:szCs w:val="28"/>
        </w:rPr>
        <w:t>обще</w:t>
      </w:r>
      <w:r w:rsidRPr="008E1CCA">
        <w:rPr>
          <w:rFonts w:asciiTheme="majorBidi" w:hAnsiTheme="majorBidi" w:cstheme="majorBidi"/>
          <w:sz w:val="28"/>
          <w:szCs w:val="28"/>
        </w:rPr>
        <w:t>образовательное учреждение средняя общеобразовательная школа №62 города Тюмени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62729" w:rsidRDefault="00462729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C1707B" w:rsidRDefault="00462729" w:rsidP="00CA5D63">
      <w:pPr>
        <w:jc w:val="center"/>
        <w:rPr>
          <w:rFonts w:asciiTheme="majorBidi" w:hAnsiTheme="majorBidi" w:cstheme="majorBidi"/>
        </w:rPr>
      </w:pPr>
      <w:r w:rsidRPr="00ED6C44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1754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1C9" w:rsidRDefault="006C21C9" w:rsidP="00C1707B">
      <w:pPr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4D0036">
        <w:rPr>
          <w:rFonts w:asciiTheme="majorBidi" w:hAnsiTheme="majorBidi" w:cstheme="majorBidi"/>
          <w:sz w:val="28"/>
          <w:szCs w:val="28"/>
        </w:rPr>
        <w:t>2024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4D0036"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62729" w:rsidRDefault="0046272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62729" w:rsidRDefault="0046272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62729" w:rsidRDefault="00462729" w:rsidP="00CA5D63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1707B">
      <w:pPr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2A188E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Тюмень, Тюменская область</w:t>
      </w:r>
      <w:r w:rsidR="004D0036">
        <w:rPr>
          <w:rFonts w:asciiTheme="majorBidi" w:hAnsiTheme="majorBidi" w:cstheme="majorBidi"/>
          <w:sz w:val="28"/>
          <w:szCs w:val="28"/>
        </w:rPr>
        <w:t>202</w:t>
      </w:r>
      <w:r w:rsidR="004D0036" w:rsidRPr="002A188E">
        <w:rPr>
          <w:rFonts w:asciiTheme="majorBidi" w:hAnsiTheme="majorBidi" w:cstheme="majorBidi"/>
          <w:sz w:val="28"/>
          <w:szCs w:val="28"/>
        </w:rPr>
        <w:t>4</w:t>
      </w:r>
    </w:p>
    <w:p w:rsidR="0030678A" w:rsidRPr="00F82602" w:rsidRDefault="00F93659" w:rsidP="00C1707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F82602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956377" w:rsidRPr="00832915" w:rsidRDefault="00956377" w:rsidP="005513D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автономного образовательного учреждения средней общеобразовательной школы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№62 города Тюмен</w:t>
      </w:r>
      <w:proofErr w:type="gramStart"/>
      <w:r w:rsidRPr="00832915">
        <w:rPr>
          <w:rStyle w:val="markedcontent"/>
          <w:rFonts w:asciiTheme="majorBidi" w:hAnsiTheme="majorBidi" w:cstheme="majorBidi"/>
          <w:sz w:val="24"/>
          <w:szCs w:val="24"/>
        </w:rPr>
        <w:t>и</w:t>
      </w:r>
      <w:r>
        <w:rPr>
          <w:rStyle w:val="markedcontent"/>
          <w:rFonts w:asciiTheme="majorBidi" w:hAnsiTheme="majorBidi" w:cstheme="majorBidi"/>
          <w:sz w:val="24"/>
          <w:szCs w:val="24"/>
        </w:rPr>
        <w:t>(</w:t>
      </w:r>
      <w:proofErr w:type="gramEnd"/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далее </w:t>
      </w:r>
      <w:r w:rsidR="00A52540" w:rsidRPr="00A52540">
        <w:rPr>
          <w:rStyle w:val="markedcontent"/>
          <w:rFonts w:asciiTheme="majorBidi" w:hAnsiTheme="majorBidi" w:cstheme="majorBidi"/>
          <w:sz w:val="24"/>
          <w:szCs w:val="24"/>
        </w:rPr>
        <w:t xml:space="preserve">- </w:t>
      </w:r>
      <w:r>
        <w:rPr>
          <w:rStyle w:val="markedcontent"/>
          <w:rFonts w:asciiTheme="majorBidi" w:hAnsiTheme="majorBidi" w:cstheme="majorBidi"/>
          <w:sz w:val="24"/>
          <w:szCs w:val="24"/>
        </w:rPr>
        <w:t>МАОУ СОШ №62 города Тюмени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>)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956377" w:rsidRPr="00832915" w:rsidRDefault="00956377" w:rsidP="005513D7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является частью образовательной программы </w:t>
      </w:r>
      <w:r>
        <w:rPr>
          <w:rStyle w:val="markedcontent"/>
          <w:rFonts w:asciiTheme="majorBidi" w:hAnsiTheme="majorBidi" w:cstheme="majorBidi"/>
          <w:sz w:val="24"/>
          <w:szCs w:val="24"/>
        </w:rPr>
        <w:t>МАОУ СОШ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№62 города Тюмени, разработанной </w:t>
      </w:r>
      <w:r>
        <w:rPr>
          <w:rStyle w:val="markedcontent"/>
          <w:rFonts w:asciiTheme="majorBidi" w:hAnsiTheme="majorBidi" w:cstheme="majorBidi"/>
          <w:sz w:val="24"/>
          <w:szCs w:val="24"/>
        </w:rPr>
        <w:t>на основе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Федера</w:t>
      </w:r>
      <w:r w:rsidR="00AB71E3">
        <w:rPr>
          <w:rStyle w:val="markedcontent"/>
          <w:rFonts w:asciiTheme="majorBidi" w:hAnsiTheme="majorBidi" w:cstheme="majorBidi"/>
          <w:sz w:val="24"/>
          <w:szCs w:val="24"/>
        </w:rPr>
        <w:t>льной образовательной программы</w:t>
      </w:r>
      <w:r w:rsidR="005513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2A188E">
        <w:rPr>
          <w:rStyle w:val="markedcontent"/>
          <w:rFonts w:asciiTheme="majorBidi" w:hAnsiTheme="majorBidi" w:cstheme="majorBidi"/>
          <w:sz w:val="24"/>
          <w:szCs w:val="24"/>
        </w:rPr>
        <w:t>основног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о общего образования, 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утверждённой 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>приказ</w:t>
      </w:r>
      <w:r>
        <w:rPr>
          <w:rStyle w:val="markedcontent"/>
          <w:rFonts w:asciiTheme="majorBidi" w:hAnsiTheme="majorBidi" w:cstheme="majorBidi"/>
          <w:sz w:val="24"/>
          <w:szCs w:val="24"/>
        </w:rPr>
        <w:t>ом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Министерства просвещения Российской Федерации </w:t>
      </w:r>
      <w:r w:rsidR="002A188E" w:rsidRPr="002A188E">
        <w:rPr>
          <w:rStyle w:val="markedcontent"/>
          <w:rFonts w:asciiTheme="majorBidi" w:hAnsiTheme="majorBidi" w:cstheme="majorBidi"/>
          <w:sz w:val="24"/>
          <w:szCs w:val="24"/>
        </w:rPr>
        <w:t>о</w:t>
      </w:r>
      <w:r w:rsidR="002A188E">
        <w:rPr>
          <w:rStyle w:val="markedcontent"/>
          <w:rFonts w:asciiTheme="majorBidi" w:hAnsiTheme="majorBidi" w:cstheme="majorBidi"/>
          <w:sz w:val="24"/>
          <w:szCs w:val="24"/>
        </w:rPr>
        <w:t>т 18.05.2023 №</w:t>
      </w:r>
      <w:r w:rsidR="002A188E" w:rsidRPr="002A188E">
        <w:rPr>
          <w:rStyle w:val="markedcontent"/>
          <w:rFonts w:asciiTheme="majorBidi" w:hAnsiTheme="majorBidi" w:cstheme="majorBidi"/>
          <w:sz w:val="24"/>
          <w:szCs w:val="24"/>
        </w:rPr>
        <w:t xml:space="preserve"> 370 </w:t>
      </w:r>
      <w:r w:rsidR="002A188E">
        <w:rPr>
          <w:rStyle w:val="markedcontent"/>
          <w:rFonts w:asciiTheme="majorBidi" w:hAnsiTheme="majorBidi" w:cstheme="majorBidi"/>
          <w:sz w:val="24"/>
          <w:szCs w:val="24"/>
        </w:rPr>
        <w:t>«</w:t>
      </w:r>
      <w:r w:rsidR="002A188E" w:rsidRPr="002A188E">
        <w:rPr>
          <w:rStyle w:val="markedcontent"/>
          <w:rFonts w:asciiTheme="majorBidi" w:hAnsiTheme="majorBidi" w:cstheme="majorBidi"/>
          <w:sz w:val="24"/>
          <w:szCs w:val="24"/>
        </w:rPr>
        <w:t>Об утверждении федеральной образовательной программы основного общего образования</w:t>
      </w:r>
      <w:r w:rsidR="002A188E">
        <w:rPr>
          <w:rStyle w:val="markedcontent"/>
          <w:rFonts w:asciiTheme="majorBidi" w:hAnsiTheme="majorBidi" w:cstheme="majorBidi"/>
          <w:sz w:val="24"/>
          <w:szCs w:val="24"/>
        </w:rPr>
        <w:t>»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832915">
        <w:rPr>
          <w:rStyle w:val="markedcontent"/>
          <w:rFonts w:asciiTheme="majorBidi" w:hAnsiTheme="majorBidi" w:cstheme="majorBidi"/>
          <w:sz w:val="24"/>
          <w:szCs w:val="24"/>
        </w:rPr>
        <w:t>СанПиН</w:t>
      </w:r>
      <w:proofErr w:type="spellEnd"/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1.2.3685-21.</w:t>
      </w:r>
      <w:proofErr w:type="gramEnd"/>
    </w:p>
    <w:p w:rsidR="00956377" w:rsidRPr="00832915" w:rsidRDefault="00956377" w:rsidP="005513D7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>
        <w:rPr>
          <w:rStyle w:val="markedcontent"/>
          <w:rFonts w:asciiTheme="majorBidi" w:hAnsiTheme="majorBidi" w:cstheme="majorBidi"/>
          <w:sz w:val="24"/>
          <w:szCs w:val="24"/>
        </w:rPr>
        <w:t>МАОУ СОШ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 №62 города Тюмени</w:t>
      </w:r>
      <w:r w:rsidR="005513D7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832915">
        <w:rPr>
          <w:rFonts w:asciiTheme="majorBidi" w:hAnsiTheme="majorBidi" w:cstheme="majorBidi"/>
          <w:sz w:val="24"/>
          <w:szCs w:val="24"/>
        </w:rPr>
        <w:t xml:space="preserve">02.09.2024 </w:t>
      </w:r>
      <w:r w:rsidRPr="00832915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400618">
        <w:rPr>
          <w:rFonts w:asciiTheme="majorBidi" w:hAnsiTheme="majorBidi" w:cstheme="majorBidi"/>
          <w:sz w:val="24"/>
          <w:szCs w:val="24"/>
        </w:rPr>
        <w:t>23</w:t>
      </w:r>
      <w:r>
        <w:rPr>
          <w:rFonts w:asciiTheme="majorBidi" w:hAnsiTheme="majorBidi" w:cstheme="majorBidi"/>
          <w:sz w:val="24"/>
          <w:szCs w:val="24"/>
        </w:rPr>
        <w:t>.05.2025</w:t>
      </w:r>
      <w:r w:rsidRPr="00832915">
        <w:rPr>
          <w:rFonts w:asciiTheme="majorBidi" w:hAnsiTheme="majorBidi" w:cstheme="majorBidi"/>
          <w:sz w:val="24"/>
          <w:szCs w:val="24"/>
        </w:rPr>
        <w:t xml:space="preserve">. </w:t>
      </w:r>
    </w:p>
    <w:p w:rsidR="00C91579" w:rsidRPr="00F82602" w:rsidRDefault="000C3476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F82602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F82602" w:rsidRDefault="00F23C59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284FF2" w:rsidRPr="00F82602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F82602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F82602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F82602" w:rsidRDefault="005F6A49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Максимальный объем аудиторной нагрузки обуч</w:t>
      </w:r>
      <w:r w:rsidR="005057C0">
        <w:rPr>
          <w:rStyle w:val="markedcontent"/>
          <w:rFonts w:ascii="Times New Roman" w:hAnsi="Times New Roman" w:cs="Times New Roman"/>
          <w:sz w:val="24"/>
          <w:szCs w:val="24"/>
        </w:rPr>
        <w:t xml:space="preserve">ающихся в неделю составляет в </w:t>
      </w:r>
      <w:r w:rsidR="004D0036">
        <w:rPr>
          <w:rStyle w:val="markedcontent"/>
          <w:rFonts w:ascii="Times New Roman" w:hAnsi="Times New Roman" w:cs="Times New Roman"/>
          <w:sz w:val="24"/>
          <w:szCs w:val="24"/>
        </w:rPr>
        <w:t>5 классе – 29 часов, в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6 классе – 30 часов, в 7 классе – 32 часа, в  8-9 классах – 33 часа.</w:t>
      </w:r>
    </w:p>
    <w:p w:rsidR="00F23C59" w:rsidRPr="00F82602" w:rsidRDefault="00F23C59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F82602" w:rsidRDefault="00F23C59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F82602" w:rsidRDefault="00BF0C5B" w:rsidP="005513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956377">
        <w:rPr>
          <w:rStyle w:val="markedcontent"/>
          <w:rFonts w:ascii="Times New Roman" w:hAnsi="Times New Roman" w:cs="Times New Roman"/>
          <w:sz w:val="24"/>
          <w:szCs w:val="24"/>
        </w:rPr>
        <w:t>МАОУ СОШ</w:t>
      </w:r>
      <w:r w:rsidR="003963BA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№62 города Тюмени</w:t>
      </w:r>
      <w:r w:rsidR="005513D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E3674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F82602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F82602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F82602">
        <w:rPr>
          <w:rFonts w:ascii="Times New Roman" w:hAnsi="Times New Roman" w:cs="Times New Roman"/>
          <w:sz w:val="24"/>
          <w:szCs w:val="24"/>
        </w:rPr>
        <w:t>язык</w:t>
      </w:r>
      <w:r w:rsidR="006D6035" w:rsidRPr="00F82602">
        <w:rPr>
          <w:rFonts w:ascii="Times New Roman" w:hAnsi="Times New Roman" w:cs="Times New Roman"/>
          <w:sz w:val="24"/>
          <w:szCs w:val="24"/>
        </w:rPr>
        <w:t>.</w:t>
      </w:r>
    </w:p>
    <w:p w:rsidR="00C71245" w:rsidRPr="00F82602" w:rsidRDefault="00C71245" w:rsidP="005513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82602">
        <w:rPr>
          <w:rFonts w:ascii="Times New Roman" w:hAnsi="Times New Roman" w:cs="Times New Roman"/>
          <w:sz w:val="24"/>
          <w:szCs w:val="24"/>
        </w:rPr>
        <w:t xml:space="preserve">Региональная специфика базового компонента заключается в обновлении содержания, направленного на раннюю </w:t>
      </w:r>
      <w:proofErr w:type="spellStart"/>
      <w:r w:rsidRPr="00F82602">
        <w:rPr>
          <w:rFonts w:ascii="Times New Roman" w:hAnsi="Times New Roman" w:cs="Times New Roman"/>
          <w:sz w:val="24"/>
          <w:szCs w:val="24"/>
        </w:rPr>
        <w:t>профилизацию</w:t>
      </w:r>
      <w:proofErr w:type="spellEnd"/>
      <w:r w:rsidRPr="00F82602">
        <w:rPr>
          <w:rFonts w:ascii="Times New Roman" w:hAnsi="Times New Roman" w:cs="Times New Roman"/>
          <w:sz w:val="24"/>
          <w:szCs w:val="24"/>
        </w:rPr>
        <w:t xml:space="preserve"> и профориентацию школьников с учетом востребованных на региональном рынке труда производств и профессий </w:t>
      </w:r>
      <w:r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(региональный проект «Кадры для региона»)</w:t>
      </w:r>
      <w:r w:rsidRPr="00F82602">
        <w:rPr>
          <w:rFonts w:ascii="Times New Roman" w:hAnsi="Times New Roman" w:cs="Times New Roman"/>
          <w:sz w:val="24"/>
          <w:szCs w:val="24"/>
        </w:rPr>
        <w:t xml:space="preserve"> в предметах биология (7-9 классы), химия (9 класс), физика (7-9 классы), география (9 класс), информатика и ИКТ (9 кл</w:t>
      </w:r>
      <w:r w:rsidR="004D0036">
        <w:rPr>
          <w:rFonts w:ascii="Times New Roman" w:hAnsi="Times New Roman" w:cs="Times New Roman"/>
          <w:sz w:val="24"/>
          <w:szCs w:val="24"/>
        </w:rPr>
        <w:t xml:space="preserve">асс), технология (5-8 классах) </w:t>
      </w:r>
      <w:r w:rsidRPr="00F82602">
        <w:rPr>
          <w:rFonts w:ascii="Times New Roman" w:hAnsi="Times New Roman" w:cs="Times New Roman"/>
          <w:sz w:val="24"/>
          <w:szCs w:val="24"/>
        </w:rPr>
        <w:t>в форме</w:t>
      </w:r>
      <w:proofErr w:type="gramEnd"/>
      <w:r w:rsidRPr="00F82602">
        <w:rPr>
          <w:rFonts w:ascii="Times New Roman" w:hAnsi="Times New Roman" w:cs="Times New Roman"/>
          <w:sz w:val="24"/>
          <w:szCs w:val="24"/>
        </w:rPr>
        <w:t xml:space="preserve"> интегрированного модуля 10% учебного времени.</w:t>
      </w:r>
    </w:p>
    <w:p w:rsidR="00C71245" w:rsidRPr="00F82602" w:rsidRDefault="00C71245" w:rsidP="005513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2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Распределение часов на реализацию особенностей регионального компонента учебного плана на 2024-2025 учебный год</w:t>
      </w:r>
      <w:r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 таблице указано количество уроков, в содержание которых интегрирована региональная составляющая преподаваемого предмета).</w:t>
      </w:r>
    </w:p>
    <w:p w:rsidR="00C71245" w:rsidRPr="00F82602" w:rsidRDefault="00C71245" w:rsidP="005513D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1"/>
        <w:gridCol w:w="1524"/>
        <w:gridCol w:w="1525"/>
        <w:gridCol w:w="1525"/>
        <w:gridCol w:w="1525"/>
        <w:gridCol w:w="1525"/>
      </w:tblGrid>
      <w:tr w:rsidR="00314824" w:rsidRPr="00F82602" w:rsidTr="00314824">
        <w:tc>
          <w:tcPr>
            <w:tcW w:w="1015" w:type="pct"/>
            <w:vMerge w:val="restart"/>
            <w:vAlign w:val="center"/>
          </w:tcPr>
          <w:p w:rsidR="00314824" w:rsidRPr="00F82602" w:rsidRDefault="00314824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Предметы</w:t>
            </w:r>
          </w:p>
        </w:tc>
        <w:tc>
          <w:tcPr>
            <w:tcW w:w="797" w:type="pct"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 класс</w:t>
            </w:r>
          </w:p>
        </w:tc>
        <w:tc>
          <w:tcPr>
            <w:tcW w:w="797" w:type="pct"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класс</w:t>
            </w:r>
          </w:p>
        </w:tc>
        <w:tc>
          <w:tcPr>
            <w:tcW w:w="797" w:type="pct"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 класс</w:t>
            </w:r>
          </w:p>
        </w:tc>
        <w:tc>
          <w:tcPr>
            <w:tcW w:w="797" w:type="pct"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 класс</w:t>
            </w:r>
          </w:p>
        </w:tc>
        <w:tc>
          <w:tcPr>
            <w:tcW w:w="797" w:type="pct"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 класс</w:t>
            </w:r>
          </w:p>
        </w:tc>
      </w:tr>
      <w:tr w:rsidR="00314824" w:rsidRPr="00F82602" w:rsidTr="00314824">
        <w:tc>
          <w:tcPr>
            <w:tcW w:w="1015" w:type="pct"/>
            <w:vMerge/>
          </w:tcPr>
          <w:p w:rsidR="00314824" w:rsidRPr="00F82602" w:rsidRDefault="00314824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85" w:type="pct"/>
            <w:gridSpan w:val="5"/>
          </w:tcPr>
          <w:p w:rsidR="00314824" w:rsidRPr="00314824" w:rsidRDefault="00314824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148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Иностранный язык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Математика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Алгебра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История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Обществознание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География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Физика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571A59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 (т</w:t>
            </w:r>
            <w:r w:rsidR="00C71245"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97" w:type="pct"/>
          </w:tcPr>
          <w:p w:rsidR="00C71245" w:rsidRPr="00F82602" w:rsidRDefault="00571A59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C71245" w:rsidRPr="00F82602" w:rsidTr="000179A1">
        <w:tc>
          <w:tcPr>
            <w:tcW w:w="1015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Объем учебного времени 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797" w:type="pct"/>
          </w:tcPr>
          <w:p w:rsidR="00C71245" w:rsidRPr="00F82602" w:rsidRDefault="00C71245" w:rsidP="005513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6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</w:tr>
    </w:tbl>
    <w:p w:rsidR="00F82602" w:rsidRPr="00F82602" w:rsidRDefault="00F82602" w:rsidP="005513D7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23C59" w:rsidRPr="00F82602" w:rsidRDefault="00340F30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При изучениитехнологии</w:t>
      </w:r>
      <w:r w:rsidR="00E730B9">
        <w:rPr>
          <w:rStyle w:val="markedcontent"/>
          <w:rFonts w:ascii="Times New Roman" w:hAnsi="Times New Roman" w:cs="Times New Roman"/>
          <w:sz w:val="24"/>
          <w:szCs w:val="24"/>
        </w:rPr>
        <w:t xml:space="preserve">6-8 классах </w:t>
      </w:r>
      <w:r w:rsidR="004141D3" w:rsidRPr="00F82602">
        <w:rPr>
          <w:rStyle w:val="markedcontent"/>
          <w:rFonts w:ascii="Times New Roman" w:hAnsi="Times New Roman" w:cs="Times New Roman"/>
          <w:sz w:val="24"/>
          <w:szCs w:val="24"/>
        </w:rPr>
        <w:t>осуществляется д</w:t>
      </w:r>
      <w:r w:rsidR="00F23C59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="004141D3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F82602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F8260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82602" w:rsidRPr="00F82602" w:rsidRDefault="00F82602" w:rsidP="005513D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82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Из части формируемой участника образовательных отношений.</w:t>
      </w:r>
    </w:p>
    <w:p w:rsidR="00F82602" w:rsidRPr="00F82602" w:rsidRDefault="00F82602" w:rsidP="0055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602">
        <w:rPr>
          <w:rFonts w:ascii="Times New Roman" w:hAnsi="Times New Roman" w:cs="Times New Roman"/>
          <w:sz w:val="24"/>
          <w:szCs w:val="24"/>
          <w:shd w:val="clear" w:color="auto" w:fill="FFFFFF"/>
        </w:rPr>
        <w:t>В учебный план предметной области «</w:t>
      </w:r>
      <w:r w:rsidRPr="00F82602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Математика и информатика</w:t>
      </w:r>
      <w:r w:rsidR="00EC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в 5-6 классах, </w:t>
      </w:r>
      <w:r w:rsidRPr="00F826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введен 1 час в неделю на изучение предмета </w:t>
      </w:r>
      <w:r w:rsidRPr="00F8260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</w:t>
      </w:r>
      <w:r w:rsidRPr="00F82602">
        <w:rPr>
          <w:rStyle w:val="ad"/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Информатика</w:t>
      </w:r>
      <w:r w:rsidR="00EC6EA2">
        <w:rPr>
          <w:rFonts w:ascii="Times New Roman" w:hAnsi="Times New Roman" w:cs="Times New Roman"/>
          <w:sz w:val="24"/>
          <w:szCs w:val="24"/>
          <w:shd w:val="clear" w:color="auto" w:fill="FFFFFF"/>
        </w:rPr>
        <w:t>» с целью углубленного изучения.</w:t>
      </w:r>
    </w:p>
    <w:p w:rsidR="00340F30" w:rsidRPr="00F82602" w:rsidRDefault="00340F30" w:rsidP="005513D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Учебный модуль «Введение в Новейшую историю России» (17 часов) в 9 классе реализуется в рамках курса «История», при этом количество часов увеличивается на 0,5 часа за счёт части учебного плана, формируемой участниками образовательных отношений.</w:t>
      </w:r>
      <w:r w:rsidR="00EC6EA2">
        <w:rPr>
          <w:rStyle w:val="markedcontent"/>
          <w:rFonts w:ascii="Times New Roman" w:hAnsi="Times New Roman" w:cs="Times New Roman"/>
          <w:sz w:val="24"/>
          <w:szCs w:val="24"/>
        </w:rPr>
        <w:t xml:space="preserve"> Для равномерного распределения нагрузки по предмету «История» часы распределяются следующим образом: с 02.</w:t>
      </w:r>
      <w:r w:rsidR="004D0E4B">
        <w:rPr>
          <w:rStyle w:val="markedcontent"/>
          <w:rFonts w:ascii="Times New Roman" w:hAnsi="Times New Roman" w:cs="Times New Roman"/>
          <w:sz w:val="24"/>
          <w:szCs w:val="24"/>
        </w:rPr>
        <w:t>09.2024 по 13.01.2025 – 2 часа,</w:t>
      </w:r>
      <w:r w:rsidR="00EC6EA2">
        <w:rPr>
          <w:rStyle w:val="markedcontent"/>
          <w:rFonts w:ascii="Times New Roman" w:hAnsi="Times New Roman" w:cs="Times New Roman"/>
          <w:sz w:val="24"/>
          <w:szCs w:val="24"/>
        </w:rPr>
        <w:t xml:space="preserve"> с14.01.2025 по 26.05.2025 – 3 часа.</w:t>
      </w:r>
    </w:p>
    <w:p w:rsidR="00340F30" w:rsidRPr="00F82602" w:rsidRDefault="00726608" w:rsidP="005513D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С целью концентрации 68</w:t>
      </w:r>
      <w:r w:rsidR="00E21734">
        <w:rPr>
          <w:rStyle w:val="markedcontent"/>
          <w:rFonts w:ascii="Times New Roman" w:hAnsi="Times New Roman" w:cs="Times New Roman"/>
          <w:sz w:val="24"/>
          <w:szCs w:val="24"/>
        </w:rPr>
        <w:t xml:space="preserve"> часов предмета «Основы духовно-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нравственной культуры народов России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»в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5 классе 2024-2025</w:t>
      </w:r>
      <w:r w:rsidR="00340F30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учебного года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340F30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вводится дополнительный час за счет части учебного плана, формируемой участниками образовательных отношени</w:t>
      </w:r>
      <w:r w:rsidR="004D0036">
        <w:rPr>
          <w:rStyle w:val="markedcontent"/>
          <w:rFonts w:ascii="Times New Roman" w:hAnsi="Times New Roman" w:cs="Times New Roman"/>
          <w:sz w:val="24"/>
          <w:szCs w:val="24"/>
        </w:rPr>
        <w:t>й для завершения учебного курса в 5 классе.</w:t>
      </w:r>
    </w:p>
    <w:p w:rsidR="00F82602" w:rsidRPr="00F82602" w:rsidRDefault="00747B14" w:rsidP="005513D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Добавлены элективные курсы</w:t>
      </w:r>
      <w:r w:rsidR="00F82602"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Основы математической грамотности»,</w:t>
      </w:r>
      <w:r w:rsidR="00F82602"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proofErr w:type="gramStart"/>
      <w:r w:rsidR="00F82602"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</w:t>
      </w:r>
      <w:r w:rsidR="00E0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тественно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E0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научная</w:t>
      </w:r>
      <w:proofErr w:type="spellEnd"/>
      <w:proofErr w:type="gramEnd"/>
      <w:r w:rsidR="00E0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грамотность»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E06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7-8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 по</w:t>
      </w:r>
      <w:r w:rsidR="00F82602"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час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F82602" w:rsidRPr="00F826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141D3" w:rsidRPr="00F82602" w:rsidRDefault="006D6035" w:rsidP="005513D7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–процедура, проводимая с целью оценки качества освоения </w:t>
      </w:r>
      <w:proofErr w:type="gramStart"/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1C538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F82602" w:rsidRPr="00F82602" w:rsidRDefault="00F82602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</w:t>
      </w:r>
      <w:r w:rsidR="00E06E72">
        <w:rPr>
          <w:rStyle w:val="markedcontent"/>
          <w:rFonts w:ascii="Times New Roman" w:hAnsi="Times New Roman" w:cs="Times New Roman"/>
          <w:sz w:val="24"/>
          <w:szCs w:val="24"/>
        </w:rPr>
        <w:t xml:space="preserve"> формах, периодичности и порядке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текущего контроля успеваемости и промежуточной аттестации обучающихся М</w:t>
      </w:r>
      <w:r w:rsidR="00E06E72">
        <w:rPr>
          <w:rStyle w:val="markedcontent"/>
          <w:rFonts w:ascii="Times New Roman" w:hAnsi="Times New Roman" w:cs="Times New Roman"/>
          <w:sz w:val="24"/>
          <w:szCs w:val="24"/>
        </w:rPr>
        <w:t xml:space="preserve">АОУ СОШ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№62 города Тюмени. </w:t>
      </w:r>
    </w:p>
    <w:p w:rsidR="00F82602" w:rsidRPr="00F82602" w:rsidRDefault="00F82602" w:rsidP="00551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2602">
        <w:rPr>
          <w:rFonts w:ascii="Times New Roman" w:hAnsi="Times New Roman" w:cs="Times New Roman"/>
          <w:sz w:val="24"/>
          <w:szCs w:val="24"/>
        </w:rPr>
        <w:t>В 5-8 классах для промежуточной аттестации используются результаты всероссийских проверочных работ по всем предметам.</w:t>
      </w:r>
    </w:p>
    <w:p w:rsidR="00065D4F" w:rsidRPr="00F82602" w:rsidRDefault="00065D4F" w:rsidP="005513D7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40"/>
        <w:gridCol w:w="1902"/>
        <w:gridCol w:w="2022"/>
        <w:gridCol w:w="2179"/>
        <w:gridCol w:w="2022"/>
      </w:tblGrid>
      <w:tr w:rsidR="00F82602" w:rsidRPr="00F82602" w:rsidTr="005513D7">
        <w:trPr>
          <w:trHeight w:val="417"/>
        </w:trPr>
        <w:tc>
          <w:tcPr>
            <w:tcW w:w="753" w:type="pct"/>
            <w:vMerge w:val="restar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247" w:type="pct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F82602" w:rsidRPr="00F82602" w:rsidTr="005513D7">
        <w:trPr>
          <w:trHeight w:val="243"/>
        </w:trPr>
        <w:tc>
          <w:tcPr>
            <w:tcW w:w="753" w:type="pct"/>
            <w:vMerge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F82602" w:rsidRPr="00F82602" w:rsidTr="005513D7">
        <w:trPr>
          <w:trHeight w:val="584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570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655"/>
        </w:trPr>
        <w:tc>
          <w:tcPr>
            <w:tcW w:w="753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Тестирование/ </w:t>
            </w: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Тестирование/ </w:t>
            </w: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Алгебра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82602" w:rsidRPr="00F82602" w:rsidTr="005513D7">
        <w:trPr>
          <w:trHeight w:val="491"/>
        </w:trPr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F82602" w:rsidRPr="00F82602" w:rsidTr="005513D7">
        <w:trPr>
          <w:trHeight w:val="328"/>
        </w:trPr>
        <w:tc>
          <w:tcPr>
            <w:tcW w:w="7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Вероятность и ста</w:t>
            </w:r>
          </w:p>
        </w:tc>
        <w:tc>
          <w:tcPr>
            <w:tcW w:w="9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0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F82602" w:rsidRPr="00F82602" w:rsidTr="005513D7">
        <w:trPr>
          <w:trHeight w:val="22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4" w:type="pct"/>
            <w:shd w:val="clear" w:color="auto" w:fill="auto"/>
            <w:noWrap/>
            <w:hideMark/>
          </w:tcPr>
          <w:p w:rsidR="00F82602" w:rsidRPr="00F82602" w:rsidRDefault="00065D4F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hideMark/>
          </w:tcPr>
          <w:p w:rsidR="00F82602" w:rsidRPr="00F82602" w:rsidRDefault="00065D4F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065D4F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371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2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Тестирование/ Результаты ВПР</w:t>
            </w:r>
          </w:p>
        </w:tc>
      </w:tr>
      <w:tr w:rsidR="00F82602" w:rsidRPr="00F82602" w:rsidTr="005513D7">
        <w:trPr>
          <w:trHeight w:val="240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F82602" w:rsidRPr="00F82602" w:rsidTr="005513D7">
        <w:trPr>
          <w:trHeight w:val="22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602" w:rsidRPr="00F82602" w:rsidTr="005513D7">
        <w:trPr>
          <w:trHeight w:val="347"/>
        </w:trPr>
        <w:tc>
          <w:tcPr>
            <w:tcW w:w="753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94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057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057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4D0E4B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Устный ответ на вопросы билетов</w:t>
            </w:r>
          </w:p>
        </w:tc>
        <w:tc>
          <w:tcPr>
            <w:tcW w:w="1057" w:type="pct"/>
            <w:shd w:val="clear" w:color="auto" w:fill="auto"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Устный ответ на вопросы билетов</w:t>
            </w:r>
          </w:p>
        </w:tc>
      </w:tr>
      <w:tr w:rsidR="00F82602" w:rsidRPr="00F82602" w:rsidTr="005513D7">
        <w:trPr>
          <w:trHeight w:val="285"/>
        </w:trPr>
        <w:tc>
          <w:tcPr>
            <w:tcW w:w="753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4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9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057" w:type="pct"/>
            <w:shd w:val="clear" w:color="auto" w:fill="auto"/>
            <w:noWrap/>
            <w:vAlign w:val="center"/>
            <w:hideMark/>
          </w:tcPr>
          <w:p w:rsidR="00F82602" w:rsidRPr="00F82602" w:rsidRDefault="00F82602" w:rsidP="00551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5513D7" w:rsidRDefault="005513D7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F82602" w:rsidRPr="00F82602" w:rsidRDefault="00F82602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</w:t>
      </w:r>
      <w:proofErr w:type="gramStart"/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Предметы </w:t>
      </w:r>
      <w:r w:rsidR="00747B14">
        <w:rPr>
          <w:rStyle w:val="markedcontent"/>
          <w:rFonts w:ascii="Times New Roman" w:hAnsi="Times New Roman" w:cs="Times New Roman"/>
          <w:sz w:val="24"/>
          <w:szCs w:val="24"/>
        </w:rPr>
        <w:t xml:space="preserve">«Музыка», «Изобразительное искусство»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являются </w:t>
      </w:r>
      <w:proofErr w:type="spellStart"/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«зачет» ил</w:t>
      </w:r>
      <w:r w:rsidR="00E06E72">
        <w:rPr>
          <w:rStyle w:val="markedcontent"/>
          <w:rFonts w:ascii="Times New Roman" w:hAnsi="Times New Roman" w:cs="Times New Roman"/>
          <w:sz w:val="24"/>
          <w:szCs w:val="24"/>
        </w:rPr>
        <w:t>и «незачет» по итогам четверти.</w:t>
      </w:r>
      <w:proofErr w:type="gramEnd"/>
      <w:r w:rsidR="00747B14">
        <w:rPr>
          <w:rStyle w:val="markedcontent"/>
          <w:rFonts w:ascii="Times New Roman" w:hAnsi="Times New Roman" w:cs="Times New Roman"/>
          <w:sz w:val="24"/>
          <w:szCs w:val="24"/>
        </w:rPr>
        <w:t xml:space="preserve"> Элективные курсы являются </w:t>
      </w:r>
      <w:proofErr w:type="spellStart"/>
      <w:r w:rsidR="00747B14">
        <w:rPr>
          <w:rStyle w:val="markedcontent"/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="00747B14">
        <w:rPr>
          <w:rStyle w:val="markedcontent"/>
          <w:rFonts w:ascii="Times New Roman" w:hAnsi="Times New Roman" w:cs="Times New Roman"/>
          <w:sz w:val="24"/>
          <w:szCs w:val="24"/>
        </w:rPr>
        <w:t xml:space="preserve"> и оцениваются «освоено» или «</w:t>
      </w:r>
      <w:proofErr w:type="spellStart"/>
      <w:r w:rsidR="00747B14">
        <w:rPr>
          <w:rStyle w:val="markedcontent"/>
          <w:rFonts w:ascii="Times New Roman" w:hAnsi="Times New Roman" w:cs="Times New Roman"/>
          <w:sz w:val="24"/>
          <w:szCs w:val="24"/>
        </w:rPr>
        <w:t>неосвоено</w:t>
      </w:r>
      <w:proofErr w:type="spellEnd"/>
      <w:r w:rsidR="00747B14">
        <w:rPr>
          <w:rStyle w:val="markedcontent"/>
          <w:rFonts w:ascii="Times New Roman" w:hAnsi="Times New Roman" w:cs="Times New Roman"/>
          <w:sz w:val="24"/>
          <w:szCs w:val="24"/>
        </w:rPr>
        <w:t>».</w:t>
      </w:r>
    </w:p>
    <w:p w:rsidR="008E0553" w:rsidRPr="00F82602" w:rsidRDefault="00B55BA0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 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</w:t>
      </w:r>
      <w:r w:rsidR="00F82602"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6D6035" w:rsidRPr="00F82602">
        <w:rPr>
          <w:rStyle w:val="markedcontent"/>
          <w:rFonts w:ascii="Times New Roman" w:hAnsi="Times New Roman" w:cs="Times New Roman"/>
          <w:sz w:val="24"/>
          <w:szCs w:val="24"/>
        </w:rPr>
        <w:t>итоговой аттестацией.</w:t>
      </w:r>
    </w:p>
    <w:p w:rsidR="00D8488E" w:rsidRDefault="006D6035" w:rsidP="005513D7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Нормативный срок освоения </w:t>
      </w:r>
      <w:r w:rsidR="008E0553" w:rsidRPr="00F82602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F82602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F82602">
        <w:rPr>
          <w:rStyle w:val="markedcontent"/>
          <w:rFonts w:ascii="Times New Roman" w:hAnsi="Times New Roman" w:cs="Times New Roman"/>
          <w:sz w:val="24"/>
          <w:szCs w:val="24"/>
        </w:rPr>
        <w:t>5лет</w:t>
      </w:r>
      <w:r w:rsidR="00F60A00" w:rsidRPr="00F8260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5513D7" w:rsidRDefault="005513D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513D7" w:rsidRDefault="00806E3A" w:rsidP="00806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Учебный план основного общего образования на 2024-2025 учебный</w:t>
      </w:r>
      <w:r w:rsidR="005513D7">
        <w:rPr>
          <w:rFonts w:ascii="Times New Roman" w:hAnsi="Times New Roman" w:cs="Times New Roman"/>
          <w:b/>
        </w:rPr>
        <w:t xml:space="preserve"> год</w:t>
      </w:r>
    </w:p>
    <w:p w:rsidR="00806E3A" w:rsidRPr="00373748" w:rsidRDefault="005513D7" w:rsidP="00806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МАОУ СОШ №62 города Тюмени</w:t>
      </w:r>
    </w:p>
    <w:tbl>
      <w:tblPr>
        <w:tblStyle w:val="ab"/>
        <w:tblW w:w="0" w:type="auto"/>
        <w:tblLook w:val="04A0"/>
      </w:tblPr>
      <w:tblGrid>
        <w:gridCol w:w="2762"/>
        <w:gridCol w:w="2561"/>
        <w:gridCol w:w="776"/>
        <w:gridCol w:w="859"/>
        <w:gridCol w:w="859"/>
        <w:gridCol w:w="859"/>
        <w:gridCol w:w="889"/>
      </w:tblGrid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76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4591" w:type="dxa"/>
            <w:gridSpan w:val="5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06E3A" w:rsidRPr="00F82602" w:rsidTr="00D248D9">
        <w:tc>
          <w:tcPr>
            <w:tcW w:w="10138" w:type="dxa"/>
            <w:gridSpan w:val="7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3A" w:rsidRPr="00F82602" w:rsidTr="00D248D9">
        <w:tc>
          <w:tcPr>
            <w:tcW w:w="2871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3A" w:rsidRPr="00F82602" w:rsidTr="00D248D9">
        <w:tc>
          <w:tcPr>
            <w:tcW w:w="2871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Pr="00F82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F826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E3A" w:rsidRPr="00F82602" w:rsidTr="00D248D9">
        <w:tc>
          <w:tcPr>
            <w:tcW w:w="2871" w:type="dxa"/>
            <w:vMerge w:val="restart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6E3A" w:rsidRPr="00F82602" w:rsidTr="00D248D9">
        <w:tc>
          <w:tcPr>
            <w:tcW w:w="2871" w:type="dxa"/>
            <w:vMerge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6E3A" w:rsidRPr="00F82602" w:rsidTr="00D248D9">
        <w:tc>
          <w:tcPr>
            <w:tcW w:w="2871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676" w:type="dxa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F827F4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E3A" w:rsidRPr="00F82602" w:rsidTr="00D248D9">
        <w:tc>
          <w:tcPr>
            <w:tcW w:w="5547" w:type="dxa"/>
            <w:gridSpan w:val="2"/>
            <w:shd w:val="clear" w:color="auto" w:fill="auto"/>
          </w:tcPr>
          <w:p w:rsidR="00806E3A" w:rsidRPr="00F82602" w:rsidRDefault="00806E3A" w:rsidP="00806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9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8" w:type="dxa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5066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806E3A" w:rsidRPr="00F82602" w:rsidTr="00D248D9">
        <w:tc>
          <w:tcPr>
            <w:tcW w:w="10138" w:type="dxa"/>
            <w:gridSpan w:val="7"/>
            <w:shd w:val="clear" w:color="auto" w:fill="auto"/>
          </w:tcPr>
          <w:p w:rsidR="00806E3A" w:rsidRPr="00F82602" w:rsidRDefault="00806E3A" w:rsidP="0080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9A05AD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математической грамотности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Естественнонаучная грамотность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auto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39" w:type="dxa"/>
            <w:shd w:val="clear" w:color="auto" w:fill="auto"/>
          </w:tcPr>
          <w:p w:rsidR="00F827F4" w:rsidRPr="00F82602" w:rsidRDefault="00747B1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9A05AD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shd w:val="clear" w:color="auto" w:fill="auto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FFFFFF" w:themeFill="background1"/>
          </w:tcPr>
          <w:p w:rsidR="00F827F4" w:rsidRPr="00F82602" w:rsidRDefault="00F827F4" w:rsidP="00F8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839" w:type="dxa"/>
            <w:shd w:val="clear" w:color="auto" w:fill="FFFFFF" w:themeFill="background1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827F4" w:rsidRPr="00F82602" w:rsidTr="00D248D9">
        <w:tc>
          <w:tcPr>
            <w:tcW w:w="5547" w:type="dxa"/>
            <w:gridSpan w:val="2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839" w:type="dxa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8" w:type="dxa"/>
            <w:shd w:val="clear" w:color="auto" w:fill="FFFFFF" w:themeFill="background1"/>
          </w:tcPr>
          <w:p w:rsidR="00F827F4" w:rsidRPr="00F82602" w:rsidRDefault="00F827F4" w:rsidP="00F827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60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06E3A" w:rsidRDefault="00806E3A" w:rsidP="00806E3A">
      <w:pPr>
        <w:shd w:val="clear" w:color="auto" w:fill="FFFFFF" w:themeFill="background1"/>
      </w:pPr>
    </w:p>
    <w:p w:rsidR="00806E3A" w:rsidRDefault="00806E3A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06E3A" w:rsidRDefault="00806E3A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8D9" w:rsidRDefault="00D248D9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8D9" w:rsidRDefault="00D248D9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8D9" w:rsidRDefault="00D248D9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8D9" w:rsidRDefault="00D248D9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8D9" w:rsidRDefault="00D248D9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179A1" w:rsidRPr="00A57ABA" w:rsidRDefault="000179A1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7A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Организация внеурочной деятельности в 5-9 классах</w:t>
      </w:r>
    </w:p>
    <w:p w:rsidR="000179A1" w:rsidRDefault="000179A1" w:rsidP="000179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57A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МАОУ СОШ №62 города Тю</w:t>
      </w:r>
      <w:r w:rsidR="004D00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мени на 2024-2025</w:t>
      </w:r>
      <w:r w:rsidRPr="00A57AB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гг.</w:t>
      </w:r>
    </w:p>
    <w:p w:rsidR="000179A1" w:rsidRPr="00116838" w:rsidRDefault="000179A1" w:rsidP="00017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9A1" w:rsidRDefault="000179A1" w:rsidP="000179A1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 xml:space="preserve">Внеурочная деятельность направлена на достижение планируемых результатов освоения основной образовательной программы (личностных, метапредметных и предметных) и осуществляется в формах, отличных </w:t>
      </w:r>
      <w:proofErr w:type="gramStart"/>
      <w:r w:rsidRPr="00846210">
        <w:rPr>
          <w:rFonts w:ascii="Times New Roman" w:eastAsia="SchoolBookSanPin" w:hAnsi="Times New Roman"/>
          <w:sz w:val="24"/>
          <w:szCs w:val="24"/>
        </w:rPr>
        <w:t>от</w:t>
      </w:r>
      <w:proofErr w:type="gramEnd"/>
      <w:r w:rsidRPr="00846210">
        <w:rPr>
          <w:rFonts w:ascii="Times New Roman" w:eastAsia="SchoolBookSanPin" w:hAnsi="Times New Roman"/>
          <w:sz w:val="24"/>
          <w:szCs w:val="24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включает в себя:</w:t>
      </w:r>
    </w:p>
    <w:p w:rsidR="000179A1" w:rsidRPr="00846210" w:rsidRDefault="000179A1" w:rsidP="000179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846210">
        <w:rPr>
          <w:rFonts w:ascii="Times New Roman" w:eastAsia="SchoolBookSanPin" w:hAnsi="Times New Roman"/>
          <w:sz w:val="24"/>
          <w:szCs w:val="24"/>
        </w:rPr>
        <w:t>1) 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ограниченными возможностями здоровья.</w:t>
      </w:r>
      <w:proofErr w:type="gramEnd"/>
      <w:r w:rsidRPr="00846210">
        <w:rPr>
          <w:rFonts w:ascii="Times New Roman" w:eastAsia="SchoolBookSanPin" w:hAnsi="Times New Roman"/>
          <w:sz w:val="24"/>
          <w:szCs w:val="24"/>
        </w:rPr>
        <w:t xml:space="preserve"> </w:t>
      </w:r>
      <w:r w:rsidRPr="00846210">
        <w:rPr>
          <w:rFonts w:ascii="Times New Roman" w:hAnsi="Times New Roman"/>
          <w:sz w:val="24"/>
          <w:szCs w:val="24"/>
        </w:rPr>
        <w:t xml:space="preserve">В рамках данного направления реализуются программы: «Наглядная геометрия», «Эрудит», </w:t>
      </w:r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«Применение математики в повседневной жизни», </w:t>
      </w:r>
      <w:r w:rsidRPr="00846210">
        <w:rPr>
          <w:rFonts w:ascii="Times New Roman" w:hAnsi="Times New Roman"/>
          <w:sz w:val="24"/>
          <w:szCs w:val="24"/>
        </w:rPr>
        <w:t xml:space="preserve">«Основы современной биологии», «Введение в программирование», </w:t>
      </w:r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>«Математика в научных областях», «Физика в экспериментах и задачах», «Деловой английский», «Глобальная география».</w:t>
      </w:r>
      <w:r w:rsidRPr="00846210">
        <w:rPr>
          <w:rFonts w:ascii="Times New Roman" w:hAnsi="Times New Roman"/>
          <w:i/>
          <w:sz w:val="24"/>
          <w:szCs w:val="24"/>
        </w:rPr>
        <w:t xml:space="preserve"> На реализацию данного направления</w:t>
      </w:r>
      <w:r w:rsidR="005513D7">
        <w:rPr>
          <w:rFonts w:ascii="Times New Roman" w:hAnsi="Times New Roman"/>
          <w:i/>
          <w:sz w:val="24"/>
          <w:szCs w:val="24"/>
        </w:rPr>
        <w:t xml:space="preserve"> </w:t>
      </w:r>
      <w:r w:rsidRPr="00846210">
        <w:rPr>
          <w:rFonts w:ascii="Times New Roman" w:hAnsi="Times New Roman"/>
          <w:i/>
          <w:sz w:val="24"/>
          <w:szCs w:val="24"/>
        </w:rPr>
        <w:t>отводится в 5-8 классах – 1 час, в 9 классах - 2 часа.</w:t>
      </w:r>
    </w:p>
    <w:p w:rsidR="000179A1" w:rsidRPr="00846210" w:rsidRDefault="000179A1" w:rsidP="000179A1">
      <w:pPr>
        <w:pStyle w:val="c20"/>
        <w:spacing w:before="0" w:beforeAutospacing="0" w:after="0" w:afterAutospacing="0" w:line="276" w:lineRule="auto"/>
        <w:ind w:firstLine="709"/>
        <w:jc w:val="both"/>
      </w:pPr>
      <w:r w:rsidRPr="00846210">
        <w:rPr>
          <w:rFonts w:eastAsia="SchoolBookSanPin"/>
        </w:rPr>
        <w:t xml:space="preserve">2) внеурочную деятельность по формированию функциональной грамотности (читательской, математической, естественнонаучной, финансовой) </w:t>
      </w:r>
      <w:proofErr w:type="gramStart"/>
      <w:r w:rsidRPr="00846210">
        <w:rPr>
          <w:rFonts w:eastAsia="SchoolBookSanPin"/>
        </w:rPr>
        <w:t>обучающихся</w:t>
      </w:r>
      <w:proofErr w:type="gramEnd"/>
      <w:r w:rsidRPr="00846210">
        <w:rPr>
          <w:rFonts w:eastAsia="SchoolBookSanPin"/>
        </w:rPr>
        <w:t xml:space="preserve"> (интегрированные курсы, </w:t>
      </w:r>
      <w:proofErr w:type="spellStart"/>
      <w:r w:rsidRPr="00846210">
        <w:rPr>
          <w:rFonts w:eastAsia="SchoolBookSanPin"/>
        </w:rPr>
        <w:t>метапредметные</w:t>
      </w:r>
      <w:proofErr w:type="spellEnd"/>
      <w:r w:rsidRPr="00846210">
        <w:rPr>
          <w:rFonts w:eastAsia="SchoolBookSanPin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деятельности). </w:t>
      </w:r>
      <w:r w:rsidRPr="00846210">
        <w:t>В рамках данного направления реализуется программа:</w:t>
      </w:r>
      <w:r w:rsidRPr="00846210">
        <w:rPr>
          <w:i/>
        </w:rPr>
        <w:t xml:space="preserve"> «Функциональная грамотность. Читательская грамотность». На реализацию данного направления отводится 1 час.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6210">
        <w:rPr>
          <w:rFonts w:ascii="Times New Roman" w:eastAsia="SchoolBookSanPin" w:hAnsi="Times New Roman"/>
          <w:sz w:val="24"/>
          <w:szCs w:val="24"/>
        </w:rPr>
        <w:t xml:space="preserve">3) 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846210">
        <w:rPr>
          <w:rFonts w:ascii="Times New Roman" w:eastAsia="SchoolBookSanPin" w:hAnsi="Times New Roman"/>
          <w:sz w:val="24"/>
          <w:szCs w:val="24"/>
        </w:rPr>
        <w:t>волонтёрство</w:t>
      </w:r>
      <w:proofErr w:type="spellEnd"/>
      <w:r w:rsidRPr="00846210">
        <w:rPr>
          <w:rFonts w:ascii="Times New Roman" w:eastAsia="SchoolBookSanPin" w:hAnsi="Times New Roman"/>
          <w:sz w:val="24"/>
          <w:szCs w:val="24"/>
        </w:rPr>
        <w:t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окружении.</w:t>
      </w:r>
      <w:proofErr w:type="gramEnd"/>
      <w:r w:rsidRPr="008462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6210">
        <w:rPr>
          <w:rFonts w:ascii="Times New Roman" w:hAnsi="Times New Roman"/>
          <w:sz w:val="24"/>
          <w:szCs w:val="24"/>
        </w:rPr>
        <w:t xml:space="preserve">В рамках данного направления реализуются программы: кружок «Театральный», кружок «Танцевальный», секция «Волейбол», секция «Баскетбол», секция «Мини-футбол», кружок «Компьютерная графика», кружок «Робототехника», </w:t>
      </w:r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>«Физкультура по интересам.</w:t>
      </w:r>
      <w:proofErr w:type="gramEnd"/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Волейбол», «Физкультура по интересам. Мини-футбол»</w:t>
      </w:r>
      <w:proofErr w:type="gramStart"/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Pr="00846210">
        <w:rPr>
          <w:rFonts w:ascii="Times New Roman" w:hAnsi="Times New Roman"/>
          <w:sz w:val="24"/>
          <w:szCs w:val="24"/>
        </w:rPr>
        <w:t>Реализуется в 5-9 классах, по выбору обучающихся.</w:t>
      </w:r>
      <w:r w:rsidRPr="00846210">
        <w:rPr>
          <w:rFonts w:ascii="Times New Roman" w:hAnsi="Times New Roman"/>
          <w:i/>
          <w:sz w:val="24"/>
          <w:szCs w:val="24"/>
        </w:rPr>
        <w:t xml:space="preserve"> На реализацию данного направления</w:t>
      </w:r>
      <w:r w:rsidR="005513D7">
        <w:rPr>
          <w:rFonts w:ascii="Times New Roman" w:hAnsi="Times New Roman"/>
          <w:i/>
          <w:sz w:val="24"/>
          <w:szCs w:val="24"/>
        </w:rPr>
        <w:t xml:space="preserve"> </w:t>
      </w:r>
      <w:r w:rsidRPr="00846210">
        <w:rPr>
          <w:rFonts w:ascii="Times New Roman" w:hAnsi="Times New Roman"/>
          <w:i/>
          <w:sz w:val="24"/>
          <w:szCs w:val="24"/>
        </w:rPr>
        <w:t>отводится 2 часа.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>4) 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обучающихся.</w:t>
      </w:r>
      <w:r w:rsidRPr="00846210">
        <w:rPr>
          <w:rFonts w:ascii="Times New Roman" w:hAnsi="Times New Roman"/>
          <w:sz w:val="24"/>
          <w:szCs w:val="24"/>
        </w:rPr>
        <w:t xml:space="preserve"> Направление предполагает организацию вместе с детьми комплекса совместных дел воспитательной направленности и направлено на удовлетворение социальных интересов и потребностей обучающихся.</w:t>
      </w:r>
      <w:r w:rsidR="006330EF">
        <w:rPr>
          <w:rFonts w:ascii="Times New Roman" w:hAnsi="Times New Roman"/>
          <w:sz w:val="24"/>
          <w:szCs w:val="24"/>
        </w:rPr>
        <w:t xml:space="preserve"> </w:t>
      </w:r>
      <w:r w:rsidRPr="00846210">
        <w:rPr>
          <w:rFonts w:ascii="Times New Roman" w:hAnsi="Times New Roman"/>
          <w:sz w:val="24"/>
          <w:szCs w:val="24"/>
        </w:rPr>
        <w:t xml:space="preserve">Направление реализуется </w:t>
      </w:r>
      <w:proofErr w:type="gramStart"/>
      <w:r w:rsidRPr="00846210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846210">
        <w:rPr>
          <w:rFonts w:ascii="Times New Roman" w:hAnsi="Times New Roman"/>
          <w:sz w:val="24"/>
          <w:szCs w:val="24"/>
        </w:rPr>
        <w:t xml:space="preserve"> рабочей программы «Калейдоскоп школьных дел» Реализуется в 5-9 классах, отводится 1 час.</w:t>
      </w:r>
    </w:p>
    <w:p w:rsidR="000179A1" w:rsidRPr="00065D4F" w:rsidRDefault="000179A1" w:rsidP="00E93995">
      <w:pPr>
        <w:spacing w:after="0"/>
        <w:ind w:right="-116" w:firstLine="709"/>
        <w:jc w:val="both"/>
        <w:rPr>
          <w:rFonts w:ascii="Times New Roma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 xml:space="preserve">5) 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</w:t>
      </w:r>
      <w:r w:rsidRPr="00846210">
        <w:rPr>
          <w:rFonts w:ascii="Times New Roman" w:eastAsia="SchoolBookSanPin" w:hAnsi="Times New Roman"/>
          <w:sz w:val="24"/>
          <w:szCs w:val="24"/>
        </w:rPr>
        <w:lastRenderedPageBreak/>
        <w:t>объединений по интересам, клубов; детских, подростковых и юношеских общественных объединений, организаций и других.</w:t>
      </w:r>
      <w:r w:rsidRPr="00846210">
        <w:rPr>
          <w:rFonts w:ascii="Times New Roman" w:hAnsi="Times New Roman"/>
          <w:sz w:val="24"/>
          <w:szCs w:val="24"/>
        </w:rPr>
        <w:t xml:space="preserve"> Направление предполагает работу деятельности ученических сообществ, детских общественных объединений. Реализуется через прог</w:t>
      </w:r>
      <w:r w:rsidR="00E93995">
        <w:rPr>
          <w:rFonts w:ascii="Times New Roman" w:hAnsi="Times New Roman"/>
          <w:sz w:val="24"/>
          <w:szCs w:val="24"/>
        </w:rPr>
        <w:t xml:space="preserve">раммы: «Движение первых» </w:t>
      </w:r>
      <w:r w:rsidRPr="00846210">
        <w:rPr>
          <w:rFonts w:ascii="Times New Roman" w:hAnsi="Times New Roman"/>
          <w:sz w:val="24"/>
          <w:szCs w:val="24"/>
        </w:rPr>
        <w:t>отводится 1 час</w:t>
      </w:r>
      <w:r w:rsidR="00E93995">
        <w:rPr>
          <w:rFonts w:ascii="Times New Roman" w:hAnsi="Times New Roman"/>
          <w:sz w:val="24"/>
          <w:szCs w:val="24"/>
        </w:rPr>
        <w:t>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>6) 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другие).</w:t>
      </w:r>
      <w:r w:rsidRPr="00846210">
        <w:rPr>
          <w:rFonts w:ascii="Times New Roman" w:hAnsi="Times New Roman"/>
          <w:sz w:val="24"/>
          <w:szCs w:val="24"/>
        </w:rPr>
        <w:t xml:space="preserve"> Реализуется через программу «День за днём», отводится 1 час.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 xml:space="preserve">7) 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педагогов-психологов). </w:t>
      </w:r>
      <w:r w:rsidRPr="00846210">
        <w:rPr>
          <w:rFonts w:ascii="Times New Roman" w:hAnsi="Times New Roman"/>
          <w:sz w:val="24"/>
          <w:szCs w:val="24"/>
        </w:rPr>
        <w:t>Реализуется через программы:</w:t>
      </w:r>
      <w:r w:rsidRPr="00846210">
        <w:rPr>
          <w:rFonts w:ascii="Times New Roman" w:eastAsia="Times New Roman" w:hAnsi="Times New Roman"/>
          <w:sz w:val="24"/>
          <w:szCs w:val="24"/>
          <w:lang w:eastAsia="ru-RU"/>
        </w:rPr>
        <w:t xml:space="preserve"> «Россия – мои горизонты»,</w:t>
      </w:r>
      <w:r w:rsidR="007A3B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6210">
        <w:rPr>
          <w:rFonts w:ascii="Times New Roman" w:hAnsi="Times New Roman"/>
          <w:sz w:val="24"/>
          <w:szCs w:val="24"/>
        </w:rPr>
        <w:t>«Перспектива»,</w:t>
      </w:r>
      <w:r w:rsidR="001747D4">
        <w:rPr>
          <w:rFonts w:ascii="Times New Roman" w:hAnsi="Times New Roman"/>
          <w:sz w:val="24"/>
          <w:szCs w:val="24"/>
        </w:rPr>
        <w:t xml:space="preserve"> </w:t>
      </w:r>
      <w:r w:rsidRPr="00846210">
        <w:rPr>
          <w:rFonts w:ascii="Times New Roman" w:hAnsi="Times New Roman"/>
          <w:sz w:val="24"/>
          <w:szCs w:val="24"/>
        </w:rPr>
        <w:t>«Солнечный город», отводится 1 час в неделю.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46210">
        <w:rPr>
          <w:rFonts w:ascii="Times New Roman" w:eastAsia="SchoolBookSanPin" w:hAnsi="Times New Roman"/>
          <w:sz w:val="24"/>
          <w:szCs w:val="24"/>
        </w:rPr>
        <w:t>8) внеурочную деятельность, направленную на обеспечение благополучия обучающихся в пространстве общеобразовательной организации (безопасности жизни и здоровья обучающихся,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обучающегося с окружающей средой, социальной защиты обучающихся).</w:t>
      </w:r>
      <w:r w:rsidRPr="00846210">
        <w:rPr>
          <w:rFonts w:ascii="Times New Roman" w:hAnsi="Times New Roman"/>
          <w:sz w:val="24"/>
          <w:szCs w:val="24"/>
        </w:rPr>
        <w:t xml:space="preserve"> Реализуется через модуль рабочей программы воспитания «Профилактика и безопасность», отводится 1 час в неделю.</w:t>
      </w:r>
    </w:p>
    <w:p w:rsidR="000179A1" w:rsidRPr="00846210" w:rsidRDefault="000179A1" w:rsidP="000179A1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0179A1" w:rsidRPr="000179A1" w:rsidRDefault="000179A1" w:rsidP="000179A1">
      <w:pPr>
        <w:jc w:val="center"/>
      </w:pPr>
      <w:r>
        <w:rPr>
          <w:rFonts w:ascii="Times New Roman" w:hAnsi="Times New Roman" w:cs="Times New Roman"/>
          <w:b/>
        </w:rPr>
        <w:t>План внеурочной деятельности, уровень основного общего образования,</w:t>
      </w:r>
    </w:p>
    <w:p w:rsidR="000179A1" w:rsidRPr="002F54A1" w:rsidRDefault="004D0036" w:rsidP="00E06E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0179A1"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8"/>
        <w:gridCol w:w="2567"/>
        <w:gridCol w:w="758"/>
        <w:gridCol w:w="754"/>
        <w:gridCol w:w="758"/>
        <w:gridCol w:w="754"/>
        <w:gridCol w:w="696"/>
      </w:tblGrid>
      <w:tr w:rsidR="000179A1" w:rsidRPr="00A33E2E" w:rsidTr="005513D7">
        <w:tc>
          <w:tcPr>
            <w:tcW w:w="171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Направления, содержание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и формы организации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внеурочной деятельности</w:t>
            </w:r>
          </w:p>
        </w:tc>
        <w:tc>
          <w:tcPr>
            <w:tcW w:w="1342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6232A3">
              <w:rPr>
                <w:rFonts w:ascii="Times New Roman" w:hAnsi="Times New Roman"/>
                <w:b/>
              </w:rPr>
              <w:t>Формы и темы организации внеурочной деятельности</w:t>
            </w:r>
          </w:p>
        </w:tc>
        <w:tc>
          <w:tcPr>
            <w:tcW w:w="1943" w:type="pct"/>
            <w:gridSpan w:val="5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Класс </w:t>
            </w: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  <w:vMerge/>
          </w:tcPr>
          <w:p w:rsidR="000179A1" w:rsidRPr="006232A3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9</w:t>
            </w:r>
          </w:p>
        </w:tc>
      </w:tr>
      <w:tr w:rsidR="000179A1" w:rsidRPr="00A33E2E" w:rsidTr="005513D7">
        <w:tc>
          <w:tcPr>
            <w:tcW w:w="5000" w:type="pct"/>
            <w:gridSpan w:val="7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Часть, рекомендуемая для всех обучающихся</w:t>
            </w:r>
          </w:p>
        </w:tc>
      </w:tr>
      <w:tr w:rsidR="000179A1" w:rsidRPr="00A33E2E" w:rsidTr="005513D7">
        <w:tc>
          <w:tcPr>
            <w:tcW w:w="1714" w:type="pct"/>
          </w:tcPr>
          <w:p w:rsidR="000179A1" w:rsidRPr="006232A3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6232A3">
              <w:rPr>
                <w:rFonts w:ascii="Times New Roman" w:hAnsi="Times New Roman"/>
                <w:b/>
              </w:rPr>
              <w:t>Информационно-просветительские занятия</w:t>
            </w:r>
          </w:p>
        </w:tc>
        <w:tc>
          <w:tcPr>
            <w:tcW w:w="1342" w:type="pct"/>
          </w:tcPr>
          <w:p w:rsidR="000179A1" w:rsidRPr="00F74BAB" w:rsidRDefault="000179A1" w:rsidP="000179A1">
            <w:pPr>
              <w:rPr>
                <w:rFonts w:ascii="Times New Roman" w:hAnsi="Times New Roman"/>
              </w:rPr>
            </w:pPr>
            <w:r w:rsidRPr="00F74BAB">
              <w:rPr>
                <w:rFonts w:ascii="Times New Roman" w:hAnsi="Times New Roman"/>
              </w:rPr>
              <w:t xml:space="preserve">«Разговоры о </w:t>
            </w:r>
            <w:proofErr w:type="gramStart"/>
            <w:r w:rsidRPr="00F74BAB">
              <w:rPr>
                <w:rFonts w:ascii="Times New Roman" w:hAnsi="Times New Roman"/>
              </w:rPr>
              <w:t>важном</w:t>
            </w:r>
            <w:proofErr w:type="gramEnd"/>
            <w:r w:rsidRPr="00F74BAB"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Внеурочная деятельность по формированию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функциональной </w:t>
            </w:r>
          </w:p>
          <w:p w:rsidR="000179A1" w:rsidRPr="00F74BAB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  <w:b/>
              </w:rPr>
              <w:t>грамотности</w:t>
            </w:r>
          </w:p>
        </w:tc>
        <w:tc>
          <w:tcPr>
            <w:tcW w:w="1342" w:type="pct"/>
          </w:tcPr>
          <w:p w:rsidR="000179A1" w:rsidRPr="00F74BAB" w:rsidRDefault="000179A1" w:rsidP="000179A1">
            <w:pPr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Читательская грамотность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Внеурочная деятельность, направленная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на организацию педагогической поддержки обучающихс</w:t>
            </w:r>
            <w:proofErr w:type="gramStart"/>
            <w:r w:rsidRPr="00A33E2E">
              <w:rPr>
                <w:rFonts w:ascii="Times New Roman" w:hAnsi="Times New Roman"/>
                <w:b/>
              </w:rPr>
              <w:t>я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р</w:t>
            </w:r>
            <w:r w:rsidRPr="00F74BAB">
              <w:rPr>
                <w:rFonts w:ascii="Times New Roman" w:hAnsi="Times New Roman"/>
              </w:rPr>
              <w:t xml:space="preserve">еализация Единой модели </w:t>
            </w:r>
            <w:proofErr w:type="spellStart"/>
            <w:r w:rsidRPr="00F74BAB">
              <w:rPr>
                <w:rFonts w:ascii="Times New Roman" w:hAnsi="Times New Roman"/>
              </w:rPr>
              <w:t>профориетационного</w:t>
            </w:r>
            <w:proofErr w:type="spellEnd"/>
            <w:r w:rsidRPr="00F74BAB">
              <w:rPr>
                <w:rFonts w:ascii="Times New Roman" w:hAnsi="Times New Roman"/>
              </w:rPr>
              <w:t xml:space="preserve"> минимума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42" w:type="pct"/>
            <w:vAlign w:val="center"/>
          </w:tcPr>
          <w:p w:rsidR="000179A1" w:rsidRDefault="000179A1" w:rsidP="000179A1">
            <w:pPr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– мои горизонты»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342" w:type="pct"/>
            <w:vAlign w:val="center"/>
          </w:tcPr>
          <w:p w:rsidR="000179A1" w:rsidRDefault="000179A1" w:rsidP="000179A1">
            <w:pPr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92119">
              <w:rPr>
                <w:rFonts w:ascii="Times New Roman" w:hAnsi="Times New Roman"/>
              </w:rPr>
              <w:t>Перспектива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</w:p>
        </w:tc>
        <w:tc>
          <w:tcPr>
            <w:tcW w:w="1342" w:type="pct"/>
            <w:vAlign w:val="center"/>
          </w:tcPr>
          <w:p w:rsidR="000179A1" w:rsidRPr="00892119" w:rsidRDefault="000179A1" w:rsidP="000179A1">
            <w:pPr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«Солнечный город»</w:t>
            </w: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A14721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5000" w:type="pct"/>
            <w:gridSpan w:val="7"/>
          </w:tcPr>
          <w:p w:rsidR="000179A1" w:rsidRPr="00A14721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  <w:r w:rsidRPr="00F74BAB">
              <w:rPr>
                <w:rFonts w:ascii="Times New Roman" w:hAnsi="Times New Roman"/>
                <w:b/>
              </w:rPr>
              <w:t>Вариативная часть</w:t>
            </w:r>
          </w:p>
        </w:tc>
      </w:tr>
      <w:tr w:rsidR="000179A1" w:rsidRPr="00A33E2E" w:rsidTr="005513D7">
        <w:tc>
          <w:tcPr>
            <w:tcW w:w="171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  <w:b/>
              </w:rPr>
              <w:t>Внеурочная деятельность по учебным предметам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3E2E">
              <w:rPr>
                <w:rFonts w:ascii="Times New Roman" w:hAnsi="Times New Roman"/>
              </w:rPr>
              <w:t>Наглядная геометрия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3E2E">
              <w:rPr>
                <w:rFonts w:ascii="Times New Roman" w:hAnsi="Times New Roman"/>
              </w:rPr>
              <w:t>Эрудит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92119">
              <w:rPr>
                <w:rFonts w:ascii="Times New Roman" w:hAnsi="Times New Roman"/>
              </w:rPr>
              <w:t>Применение математики в повседневной жизни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92119">
              <w:rPr>
                <w:rFonts w:ascii="Times New Roman" w:hAnsi="Times New Roman"/>
              </w:rPr>
              <w:t>Математика в научных областях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3E2E">
              <w:rPr>
                <w:rFonts w:ascii="Times New Roman" w:hAnsi="Times New Roman"/>
              </w:rPr>
              <w:t>Основы современной биологии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892119" w:rsidRDefault="000179A1" w:rsidP="000179A1">
            <w:pPr>
              <w:tabs>
                <w:tab w:val="left" w:pos="993"/>
                <w:tab w:val="left" w:pos="2505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892119" w:rsidRDefault="000179A1" w:rsidP="000179A1">
            <w:pPr>
              <w:tabs>
                <w:tab w:val="left" w:pos="993"/>
                <w:tab w:val="left" w:pos="2505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3E2E">
              <w:rPr>
                <w:rFonts w:ascii="Times New Roman" w:hAnsi="Times New Roman"/>
              </w:rPr>
              <w:t>Введение в программирование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892119">
              <w:rPr>
                <w:rFonts w:ascii="Times New Roman" w:hAnsi="Times New Roman"/>
              </w:rPr>
              <w:t>Физика в экспериментах и задачах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892119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«Глобальная география»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Внеурочная деятельность по развитию личности,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ее способностей, удовлетворения образовательных потребностей и интересов, самореализации обучающихся, в т.ч. одаренных, через организацию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социальных практик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2535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Кружок «Театральный»</w:t>
            </w:r>
          </w:p>
        </w:tc>
        <w:tc>
          <w:tcPr>
            <w:tcW w:w="396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2</w:t>
            </w:r>
          </w:p>
        </w:tc>
        <w:tc>
          <w:tcPr>
            <w:tcW w:w="39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2</w:t>
            </w:r>
          </w:p>
        </w:tc>
        <w:tc>
          <w:tcPr>
            <w:tcW w:w="396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2</w:t>
            </w:r>
          </w:p>
        </w:tc>
        <w:tc>
          <w:tcPr>
            <w:tcW w:w="39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2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Секция «Волейбол»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Секция «Баскетбол»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Секция «Мини-футбол»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«Спортивный марафон»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Кружок «Компьютерная графика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2625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2625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Кружок «Робототехника»</w:t>
            </w:r>
          </w:p>
        </w:tc>
        <w:tc>
          <w:tcPr>
            <w:tcW w:w="396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Кружок «Танцевальный»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780"/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780"/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«Физкультура по интересам. Волейбол»</w:t>
            </w:r>
            <w:r w:rsidRPr="00A33E2E">
              <w:rPr>
                <w:rFonts w:ascii="Times New Roman" w:hAnsi="Times New Roman"/>
              </w:rPr>
              <w:tab/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  <w:tab w:val="left" w:pos="120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  <w:tab w:val="left" w:pos="120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«Физкультура по интересам. Мини-футбол»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Внеурочная деятельность, направленная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  <w:b/>
              </w:rPr>
              <w:t>на реализацию комплекса воспитательных мероприятий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«Калейдоскоп школьных дел»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Внеурочная деятельность по организации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>деятельности ученических сообществ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«Движение первых»</w:t>
            </w:r>
          </w:p>
        </w:tc>
        <w:tc>
          <w:tcPr>
            <w:tcW w:w="396" w:type="pct"/>
            <w:vMerge w:val="restar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342" w:type="pct"/>
          </w:tcPr>
          <w:p w:rsidR="000179A1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«Я, ты, он, он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вместе целая страна»</w:t>
            </w:r>
          </w:p>
        </w:tc>
        <w:tc>
          <w:tcPr>
            <w:tcW w:w="396" w:type="pct"/>
            <w:vMerge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0179A1" w:rsidRPr="00A33E2E" w:rsidTr="005513D7">
        <w:tc>
          <w:tcPr>
            <w:tcW w:w="171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Внеурочная деятельность, направленная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на организационное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обеспечение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  <w:b/>
              </w:rPr>
              <w:t>учебной деятельности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«День за днём»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proofErr w:type="gramStart"/>
            <w:r w:rsidRPr="00A33E2E">
              <w:rPr>
                <w:rFonts w:ascii="Times New Roman" w:hAnsi="Times New Roman"/>
                <w:b/>
              </w:rPr>
              <w:t xml:space="preserve">Внеурочную деятельность, направленная </w:t>
            </w:r>
            <w:proofErr w:type="gramEnd"/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на обеспечение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благополучия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 w:rsidRPr="00A33E2E">
              <w:rPr>
                <w:rFonts w:ascii="Times New Roman" w:hAnsi="Times New Roman"/>
                <w:b/>
              </w:rPr>
              <w:t xml:space="preserve">обучающихся </w:t>
            </w:r>
          </w:p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  <w:b/>
              </w:rPr>
              <w:t>в пространстве школы</w:t>
            </w:r>
          </w:p>
        </w:tc>
        <w:tc>
          <w:tcPr>
            <w:tcW w:w="1342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3E2E">
              <w:rPr>
                <w:rFonts w:ascii="Times New Roman" w:hAnsi="Times New Roman"/>
              </w:rPr>
              <w:t>Профилактика и безопасность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 w:rsidRPr="00A33E2E">
              <w:rPr>
                <w:rFonts w:ascii="Times New Roman" w:hAnsi="Times New Roman"/>
              </w:rPr>
              <w:t>1</w:t>
            </w:r>
          </w:p>
        </w:tc>
      </w:tr>
      <w:tr w:rsidR="000179A1" w:rsidRPr="00A33E2E" w:rsidTr="005513D7">
        <w:tc>
          <w:tcPr>
            <w:tcW w:w="171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342" w:type="pct"/>
          </w:tcPr>
          <w:p w:rsidR="000179A1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6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4" w:type="pct"/>
          </w:tcPr>
          <w:p w:rsidR="000179A1" w:rsidRPr="00A33E2E" w:rsidRDefault="000179A1" w:rsidP="000179A1">
            <w:pPr>
              <w:tabs>
                <w:tab w:val="left" w:pos="993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0179A1" w:rsidRDefault="00536BBE" w:rsidP="005513D7">
      <w:pPr>
        <w:tabs>
          <w:tab w:val="left" w:pos="2235"/>
        </w:tabs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:rsidR="007A3BFB" w:rsidRDefault="007A3BFB" w:rsidP="005513D7"/>
    <w:sectPr w:rsidR="007A3BFB" w:rsidSect="005513D7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14E"/>
    <w:multiLevelType w:val="hybridMultilevel"/>
    <w:tmpl w:val="ADB6A73A"/>
    <w:lvl w:ilvl="0" w:tplc="24085721">
      <w:start w:val="1"/>
      <w:numFmt w:val="decimal"/>
      <w:lvlText w:val="%1."/>
      <w:lvlJc w:val="left"/>
      <w:pPr>
        <w:ind w:left="720" w:hanging="360"/>
      </w:pPr>
    </w:lvl>
    <w:lvl w:ilvl="1" w:tplc="24085721" w:tentative="1">
      <w:start w:val="1"/>
      <w:numFmt w:val="lowerLetter"/>
      <w:lvlText w:val="%2."/>
      <w:lvlJc w:val="left"/>
      <w:pPr>
        <w:ind w:left="1440" w:hanging="360"/>
      </w:pPr>
    </w:lvl>
    <w:lvl w:ilvl="2" w:tplc="24085721" w:tentative="1">
      <w:start w:val="1"/>
      <w:numFmt w:val="lowerRoman"/>
      <w:lvlText w:val="%3."/>
      <w:lvlJc w:val="right"/>
      <w:pPr>
        <w:ind w:left="2160" w:hanging="180"/>
      </w:pPr>
    </w:lvl>
    <w:lvl w:ilvl="3" w:tplc="24085721" w:tentative="1">
      <w:start w:val="1"/>
      <w:numFmt w:val="decimal"/>
      <w:lvlText w:val="%4."/>
      <w:lvlJc w:val="left"/>
      <w:pPr>
        <w:ind w:left="2880" w:hanging="360"/>
      </w:pPr>
    </w:lvl>
    <w:lvl w:ilvl="4" w:tplc="24085721" w:tentative="1">
      <w:start w:val="1"/>
      <w:numFmt w:val="lowerLetter"/>
      <w:lvlText w:val="%5."/>
      <w:lvlJc w:val="left"/>
      <w:pPr>
        <w:ind w:left="3600" w:hanging="360"/>
      </w:pPr>
    </w:lvl>
    <w:lvl w:ilvl="5" w:tplc="24085721" w:tentative="1">
      <w:start w:val="1"/>
      <w:numFmt w:val="lowerRoman"/>
      <w:lvlText w:val="%6."/>
      <w:lvlJc w:val="right"/>
      <w:pPr>
        <w:ind w:left="4320" w:hanging="180"/>
      </w:pPr>
    </w:lvl>
    <w:lvl w:ilvl="6" w:tplc="24085721" w:tentative="1">
      <w:start w:val="1"/>
      <w:numFmt w:val="decimal"/>
      <w:lvlText w:val="%7."/>
      <w:lvlJc w:val="left"/>
      <w:pPr>
        <w:ind w:left="5040" w:hanging="360"/>
      </w:pPr>
    </w:lvl>
    <w:lvl w:ilvl="7" w:tplc="24085721" w:tentative="1">
      <w:start w:val="1"/>
      <w:numFmt w:val="lowerLetter"/>
      <w:lvlText w:val="%8."/>
      <w:lvlJc w:val="left"/>
      <w:pPr>
        <w:ind w:left="5760" w:hanging="360"/>
      </w:pPr>
    </w:lvl>
    <w:lvl w:ilvl="8" w:tplc="24085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2947"/>
    <w:multiLevelType w:val="hybridMultilevel"/>
    <w:tmpl w:val="A498EF2A"/>
    <w:lvl w:ilvl="0" w:tplc="22810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4354"/>
    <w:rsid w:val="00007DBB"/>
    <w:rsid w:val="000179A1"/>
    <w:rsid w:val="000454DE"/>
    <w:rsid w:val="00052FF9"/>
    <w:rsid w:val="000542CA"/>
    <w:rsid w:val="00065D4F"/>
    <w:rsid w:val="000A07A9"/>
    <w:rsid w:val="000C3476"/>
    <w:rsid w:val="000F4598"/>
    <w:rsid w:val="0010613A"/>
    <w:rsid w:val="00112D88"/>
    <w:rsid w:val="001232DC"/>
    <w:rsid w:val="001440F4"/>
    <w:rsid w:val="0015448F"/>
    <w:rsid w:val="001747D4"/>
    <w:rsid w:val="001A682B"/>
    <w:rsid w:val="001A68E1"/>
    <w:rsid w:val="001A75C4"/>
    <w:rsid w:val="001A779A"/>
    <w:rsid w:val="001B1213"/>
    <w:rsid w:val="001B4302"/>
    <w:rsid w:val="001C5386"/>
    <w:rsid w:val="00217E91"/>
    <w:rsid w:val="00224750"/>
    <w:rsid w:val="00226645"/>
    <w:rsid w:val="00250660"/>
    <w:rsid w:val="00270402"/>
    <w:rsid w:val="00284FF2"/>
    <w:rsid w:val="00297A59"/>
    <w:rsid w:val="002A12FF"/>
    <w:rsid w:val="002A188E"/>
    <w:rsid w:val="002A5D25"/>
    <w:rsid w:val="002C3030"/>
    <w:rsid w:val="002E245D"/>
    <w:rsid w:val="002F787C"/>
    <w:rsid w:val="0030678A"/>
    <w:rsid w:val="0031079C"/>
    <w:rsid w:val="00314824"/>
    <w:rsid w:val="00321939"/>
    <w:rsid w:val="00340F30"/>
    <w:rsid w:val="00344318"/>
    <w:rsid w:val="00373748"/>
    <w:rsid w:val="003746B2"/>
    <w:rsid w:val="00374FEA"/>
    <w:rsid w:val="003963BA"/>
    <w:rsid w:val="003A7E5F"/>
    <w:rsid w:val="003C7983"/>
    <w:rsid w:val="003E0864"/>
    <w:rsid w:val="003E4CE9"/>
    <w:rsid w:val="003E617D"/>
    <w:rsid w:val="004002DE"/>
    <w:rsid w:val="00400618"/>
    <w:rsid w:val="00412B5D"/>
    <w:rsid w:val="004141D3"/>
    <w:rsid w:val="0041494E"/>
    <w:rsid w:val="004168CD"/>
    <w:rsid w:val="00432399"/>
    <w:rsid w:val="0043527D"/>
    <w:rsid w:val="004457FE"/>
    <w:rsid w:val="00446614"/>
    <w:rsid w:val="00462729"/>
    <w:rsid w:val="00463ED2"/>
    <w:rsid w:val="004652A1"/>
    <w:rsid w:val="00467EF7"/>
    <w:rsid w:val="00473B54"/>
    <w:rsid w:val="004A5E74"/>
    <w:rsid w:val="004B1542"/>
    <w:rsid w:val="004D0036"/>
    <w:rsid w:val="004D0E4B"/>
    <w:rsid w:val="004D3AA3"/>
    <w:rsid w:val="004E028C"/>
    <w:rsid w:val="004E2FF3"/>
    <w:rsid w:val="004E4A78"/>
    <w:rsid w:val="00502D31"/>
    <w:rsid w:val="005057C0"/>
    <w:rsid w:val="00536BBE"/>
    <w:rsid w:val="00543B77"/>
    <w:rsid w:val="005472C1"/>
    <w:rsid w:val="005513D7"/>
    <w:rsid w:val="00564E8B"/>
    <w:rsid w:val="00571A59"/>
    <w:rsid w:val="005B15BC"/>
    <w:rsid w:val="005C453E"/>
    <w:rsid w:val="005F6A49"/>
    <w:rsid w:val="006136E4"/>
    <w:rsid w:val="00613F43"/>
    <w:rsid w:val="0061648B"/>
    <w:rsid w:val="00632702"/>
    <w:rsid w:val="006330EF"/>
    <w:rsid w:val="00635B07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26608"/>
    <w:rsid w:val="00747B14"/>
    <w:rsid w:val="00752EAB"/>
    <w:rsid w:val="00771952"/>
    <w:rsid w:val="00787163"/>
    <w:rsid w:val="007A3BFB"/>
    <w:rsid w:val="007A6F52"/>
    <w:rsid w:val="007B0C17"/>
    <w:rsid w:val="007B5622"/>
    <w:rsid w:val="007E3674"/>
    <w:rsid w:val="007E7965"/>
    <w:rsid w:val="00804FE3"/>
    <w:rsid w:val="00806306"/>
    <w:rsid w:val="00806E3A"/>
    <w:rsid w:val="0081324A"/>
    <w:rsid w:val="00816768"/>
    <w:rsid w:val="008448FF"/>
    <w:rsid w:val="008632FA"/>
    <w:rsid w:val="008644F9"/>
    <w:rsid w:val="0088256D"/>
    <w:rsid w:val="008829BA"/>
    <w:rsid w:val="008B4198"/>
    <w:rsid w:val="008E0553"/>
    <w:rsid w:val="008E1CCA"/>
    <w:rsid w:val="00943325"/>
    <w:rsid w:val="00956377"/>
    <w:rsid w:val="00963708"/>
    <w:rsid w:val="0099304C"/>
    <w:rsid w:val="00996DF6"/>
    <w:rsid w:val="009A05AD"/>
    <w:rsid w:val="009B229E"/>
    <w:rsid w:val="009B6A45"/>
    <w:rsid w:val="009F18D3"/>
    <w:rsid w:val="009F4C94"/>
    <w:rsid w:val="00A139CB"/>
    <w:rsid w:val="00A15C4A"/>
    <w:rsid w:val="00A227C0"/>
    <w:rsid w:val="00A52540"/>
    <w:rsid w:val="00A76A07"/>
    <w:rsid w:val="00A77598"/>
    <w:rsid w:val="00A96C90"/>
    <w:rsid w:val="00AA6584"/>
    <w:rsid w:val="00AB3E28"/>
    <w:rsid w:val="00AB6EA5"/>
    <w:rsid w:val="00AB71E3"/>
    <w:rsid w:val="00AF55C5"/>
    <w:rsid w:val="00B078E7"/>
    <w:rsid w:val="00B21763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1707B"/>
    <w:rsid w:val="00C22DA5"/>
    <w:rsid w:val="00C300D7"/>
    <w:rsid w:val="00C521EF"/>
    <w:rsid w:val="00C70729"/>
    <w:rsid w:val="00C71245"/>
    <w:rsid w:val="00C72A73"/>
    <w:rsid w:val="00C91579"/>
    <w:rsid w:val="00CA5D63"/>
    <w:rsid w:val="00CB6C10"/>
    <w:rsid w:val="00D0701D"/>
    <w:rsid w:val="00D07CCC"/>
    <w:rsid w:val="00D16267"/>
    <w:rsid w:val="00D213E7"/>
    <w:rsid w:val="00D248D9"/>
    <w:rsid w:val="00D339A5"/>
    <w:rsid w:val="00D52398"/>
    <w:rsid w:val="00D8488E"/>
    <w:rsid w:val="00D96741"/>
    <w:rsid w:val="00DB1508"/>
    <w:rsid w:val="00DC78E6"/>
    <w:rsid w:val="00DD668F"/>
    <w:rsid w:val="00DE337C"/>
    <w:rsid w:val="00DF4AEE"/>
    <w:rsid w:val="00E00F1C"/>
    <w:rsid w:val="00E06E72"/>
    <w:rsid w:val="00E115A2"/>
    <w:rsid w:val="00E21734"/>
    <w:rsid w:val="00E24C8D"/>
    <w:rsid w:val="00E24FA7"/>
    <w:rsid w:val="00E41CD5"/>
    <w:rsid w:val="00E5346A"/>
    <w:rsid w:val="00E648BD"/>
    <w:rsid w:val="00E7055D"/>
    <w:rsid w:val="00E730B9"/>
    <w:rsid w:val="00E831EA"/>
    <w:rsid w:val="00E8602F"/>
    <w:rsid w:val="00E93995"/>
    <w:rsid w:val="00EA1496"/>
    <w:rsid w:val="00EC6EA2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2602"/>
    <w:rsid w:val="00F827F4"/>
    <w:rsid w:val="00F93659"/>
    <w:rsid w:val="00FB2281"/>
    <w:rsid w:val="00FC2435"/>
    <w:rsid w:val="00FD7A4F"/>
    <w:rsid w:val="00FE1E59"/>
    <w:rsid w:val="00FF3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F82602"/>
    <w:rPr>
      <w:b/>
      <w:bCs/>
    </w:rPr>
  </w:style>
  <w:style w:type="character" w:styleId="ad">
    <w:name w:val="Emphasis"/>
    <w:basedOn w:val="a0"/>
    <w:uiPriority w:val="20"/>
    <w:qFormat/>
    <w:rsid w:val="00F82602"/>
    <w:rPr>
      <w:i/>
      <w:iCs/>
    </w:rPr>
  </w:style>
  <w:style w:type="paragraph" w:customStyle="1" w:styleId="c20">
    <w:name w:val="c20"/>
    <w:basedOn w:val="a"/>
    <w:rsid w:val="0001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  <w:rsid w:val="000542C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0542C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0542CA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9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75139671" Type="http://schemas.microsoft.com/office/2011/relationships/people" Target="people.xml"/><Relationship Id="rId3" Type="http://schemas.openxmlformats.org/officeDocument/2006/relationships/settings" Target="settings.xml"/><Relationship Id="rId118599513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8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52</cp:revision>
  <cp:lastPrinted>2024-09-11T06:44:00Z</cp:lastPrinted>
  <dcterms:created xsi:type="dcterms:W3CDTF">2022-08-06T07:34:00Z</dcterms:created>
  <dcterms:modified xsi:type="dcterms:W3CDTF">2025-01-15T11:15:00Z</dcterms:modified>
</cp:coreProperties>
</file>